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BA639" w14:textId="1D92632D" w:rsidR="0005228D" w:rsidRPr="0005228D" w:rsidRDefault="0005228D" w:rsidP="0005228D">
      <w:pPr>
        <w:tabs>
          <w:tab w:val="center" w:pos="4536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5228D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3GPP TSG RAN WG1 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Ad-Hoc Meeting 1901 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7E4BD0" w:rsidRPr="007E4BD0">
        <w:rPr>
          <w:rFonts w:ascii="Arial" w:eastAsia="Batang" w:hAnsi="Arial" w:cs="Arial"/>
          <w:b/>
          <w:bCs/>
          <w:sz w:val="28"/>
          <w:szCs w:val="24"/>
          <w:lang w:val="en-GB"/>
        </w:rPr>
        <w:t>R1-1900363</w:t>
      </w:r>
    </w:p>
    <w:p w14:paraId="4744EF52" w14:textId="0CC4AD74" w:rsidR="004246DC" w:rsidRPr="0005228D" w:rsidRDefault="0005228D" w:rsidP="0005228D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5228D">
        <w:rPr>
          <w:rFonts w:ascii="Arial" w:eastAsia="Batang" w:hAnsi="Arial" w:cs="Arial"/>
          <w:b/>
          <w:bCs/>
          <w:sz w:val="28"/>
          <w:szCs w:val="24"/>
          <w:lang w:val="en-GB"/>
        </w:rPr>
        <w:t>Taipei, Taiwan, 21st – 25th January, 2019</w:t>
      </w:r>
    </w:p>
    <w:p w14:paraId="3A9DFC9F" w14:textId="77777777" w:rsidR="004246DC" w:rsidRPr="004C2F07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59F145D0" w14:textId="5C3273F0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.1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44832B74" w:rsidR="004246DC" w:rsidRDefault="004246DC" w:rsidP="004246DC">
      <w:pPr>
        <w:spacing w:after="60"/>
        <w:ind w:left="1555" w:hanging="1555"/>
        <w:jc w:val="left"/>
        <w:rPr>
          <w:rFonts w:eastAsia="MS Mincho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05228D">
        <w:rPr>
          <w:rFonts w:eastAsia="MS Mincho"/>
          <w:b/>
          <w:color w:val="000000" w:themeColor="text1"/>
          <w:kern w:val="2"/>
          <w:sz w:val="24"/>
          <w:lang w:eastAsia="ja-JP"/>
        </w:rPr>
        <w:t>C</w:t>
      </w:r>
      <w:r>
        <w:rPr>
          <w:rFonts w:eastAsia="MS Mincho"/>
          <w:b/>
          <w:color w:val="000000" w:themeColor="text1"/>
          <w:kern w:val="2"/>
          <w:sz w:val="24"/>
          <w:lang w:eastAsia="ja-JP"/>
        </w:rPr>
        <w:t>hannel access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for </w:t>
      </w:r>
      <w:r>
        <w:rPr>
          <w:b/>
          <w:color w:val="000000" w:themeColor="text1"/>
          <w:kern w:val="2"/>
          <w:sz w:val="24"/>
          <w:lang w:eastAsia="zh-CN"/>
        </w:rPr>
        <w:t>NR unlicensed</w:t>
      </w:r>
      <w:r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 operations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203A6784" w14:textId="08BB3061" w:rsidR="009B0EED" w:rsidRDefault="0005228D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</w:rPr>
        <w:t>In RAN</w:t>
      </w:r>
      <w:r w:rsidR="009B0EED">
        <w:rPr>
          <w:bCs/>
        </w:rPr>
        <w:t>#</w:t>
      </w:r>
      <w:r>
        <w:rPr>
          <w:bCs/>
        </w:rPr>
        <w:t>82</w:t>
      </w:r>
      <w:r w:rsidR="009B0EED">
        <w:rPr>
          <w:bCs/>
        </w:rPr>
        <w:t xml:space="preserve"> meeting the </w:t>
      </w:r>
      <w:r>
        <w:rPr>
          <w:bCs/>
        </w:rPr>
        <w:t>work item for NR operation in unlicensed spectrum was approved</w:t>
      </w:r>
      <w:r w:rsidR="007239AE">
        <w:rPr>
          <w:bCs/>
        </w:rPr>
        <w:t xml:space="preserve"> [1]</w:t>
      </w:r>
      <w:r w:rsidR="009B0EED">
        <w:rPr>
          <w:bCs/>
        </w:rPr>
        <w:t>.</w:t>
      </w:r>
    </w:p>
    <w:p w14:paraId="30FB47F4" w14:textId="77777777" w:rsidR="009B0EED" w:rsidRDefault="009B0EED" w:rsidP="00302EB0">
      <w:pPr>
        <w:overflowPunct w:val="0"/>
        <w:snapToGrid/>
        <w:spacing w:after="0"/>
        <w:textAlignment w:val="baseline"/>
        <w:rPr>
          <w:bCs/>
        </w:rPr>
      </w:pPr>
    </w:p>
    <w:p w14:paraId="103BC0F3" w14:textId="28BB9613" w:rsidR="0005228D" w:rsidRDefault="003040E4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</w:rPr>
        <w:t xml:space="preserve">Among other topics </w:t>
      </w:r>
      <w:r w:rsidR="0005228D">
        <w:rPr>
          <w:bCs/>
        </w:rPr>
        <w:t xml:space="preserve">the work item </w:t>
      </w:r>
      <w:r>
        <w:rPr>
          <w:bCs/>
        </w:rPr>
        <w:t xml:space="preserve">description </w:t>
      </w:r>
      <w:r w:rsidR="0005228D">
        <w:rPr>
          <w:bCs/>
        </w:rPr>
        <w:t>includes the following objectives</w:t>
      </w:r>
      <w:r>
        <w:rPr>
          <w:bCs/>
        </w:rPr>
        <w:t xml:space="preserve"> related to channel access:</w:t>
      </w:r>
    </w:p>
    <w:p w14:paraId="3F51306D" w14:textId="77777777" w:rsidR="003040E4" w:rsidRDefault="003040E4" w:rsidP="00302EB0">
      <w:pPr>
        <w:overflowPunct w:val="0"/>
        <w:snapToGrid/>
        <w:spacing w:after="0"/>
        <w:textAlignment w:val="baseline"/>
        <w:rPr>
          <w:bCs/>
        </w:rPr>
      </w:pPr>
    </w:p>
    <w:p w14:paraId="22AAAEDF" w14:textId="77777777" w:rsidR="003040E4" w:rsidRDefault="003040E4" w:rsidP="003040E4">
      <w:pPr>
        <w:pStyle w:val="B2"/>
        <w:numPr>
          <w:ilvl w:val="0"/>
          <w:numId w:val="12"/>
        </w:numPr>
      </w:pPr>
      <w:r>
        <w:rPr>
          <w:lang w:eastAsia="ja-JP"/>
        </w:rPr>
        <w:t xml:space="preserve">For LBE, channel access </w:t>
      </w:r>
      <w:r>
        <w:t>mechanism in line with agreements from the NR-U study item (TR 38.889, Section 7.2.1.3.1). Specification work to be performed by RAN1.</w:t>
      </w:r>
    </w:p>
    <w:p w14:paraId="2E3122D3" w14:textId="726364A0" w:rsidR="003040E4" w:rsidRDefault="003040E4" w:rsidP="003040E4">
      <w:pPr>
        <w:pStyle w:val="B2"/>
        <w:numPr>
          <w:ilvl w:val="0"/>
          <w:numId w:val="12"/>
        </w:numPr>
        <w:rPr>
          <w:lang w:eastAsia="ja-JP"/>
        </w:rPr>
      </w:pPr>
      <w:r>
        <w:rPr>
          <w:lang w:eastAsia="ja-JP"/>
        </w:rPr>
        <w:t>For FBE, channel access mechanism in line with agreements from the NR-U study item (TR 38.889, Section 7.2.1.3.1). FBE is intended for environments where the absence of Wi-Fi is guaranteed (e.g., by level of regulations, private premises policies, etc. Further, the targeted scenario is limited to a single NR-U network (i.e. single operator) in the operating band and geographic area. Specification work to be performed by RAN1.</w:t>
      </w:r>
    </w:p>
    <w:p w14:paraId="36329BD1" w14:textId="77777777" w:rsidR="009B0EED" w:rsidRPr="00E16BC1" w:rsidRDefault="009B0EED" w:rsidP="009B0EED">
      <w:pPr>
        <w:overflowPunct w:val="0"/>
        <w:snapToGrid/>
        <w:spacing w:after="0"/>
        <w:textAlignment w:val="baseline"/>
        <w:rPr>
          <w:bCs/>
        </w:rPr>
      </w:pPr>
    </w:p>
    <w:p w14:paraId="01906F36" w14:textId="3392A710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channel access</w:t>
      </w:r>
      <w:r>
        <w:rPr>
          <w:rFonts w:eastAsia="MS Mincho" w:hint="eastAsia"/>
          <w:lang w:eastAsia="ja-JP"/>
        </w:rPr>
        <w:t xml:space="preserve"> procedures</w:t>
      </w:r>
      <w:r>
        <w:t>.</w:t>
      </w:r>
    </w:p>
    <w:p w14:paraId="1D071661" w14:textId="77777777" w:rsidR="004246DC" w:rsidRPr="00E34357" w:rsidRDefault="004246DC" w:rsidP="004246DC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3F23DB7" w14:textId="77777777" w:rsidR="004246DC" w:rsidRDefault="004246DC" w:rsidP="004246D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12A08956" w14:textId="3DF714F0" w:rsidR="004246DC" w:rsidRPr="00D66F82" w:rsidRDefault="00B412F4" w:rsidP="004246DC">
      <w:pPr>
        <w:pStyle w:val="Heading2"/>
        <w:rPr>
          <w:lang w:eastAsia="zh-CN"/>
        </w:rPr>
      </w:pPr>
      <w:r>
        <w:rPr>
          <w:lang w:eastAsia="ja-JP"/>
        </w:rPr>
        <w:t>Extensions</w:t>
      </w:r>
      <w:r>
        <w:rPr>
          <w:rFonts w:hint="eastAsia"/>
          <w:lang w:eastAsia="ja-JP"/>
        </w:rPr>
        <w:t xml:space="preserve"> of coexistence mechanism</w:t>
      </w:r>
    </w:p>
    <w:p w14:paraId="49003162" w14:textId="49AA01DA" w:rsidR="00977ECE" w:rsidRDefault="00134CA4" w:rsidP="00D3542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described in 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NR-U WID [1]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="005F1734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channel access mechanism for NR-U will use, 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at least</w:t>
      </w:r>
      <w:r w:rsidR="005F63D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energy detection </w:t>
      </w:r>
      <w:r w:rsidR="005F63D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part of the coexistence mechanism for enabling coexistence amongst RATs </w:t>
      </w:r>
      <w:r w:rsidR="005F63D2" w:rsidRPr="005F63D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including at least NR-U, [LTE-LAA], and Wi-Fi.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3435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also described that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5F63D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E</w:t>
      </w:r>
      <w:r w:rsidR="00977EC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xtensions of </w:t>
      </w:r>
      <w:r w:rsidR="005F63D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977EC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coexistence mechanism </w:t>
      </w:r>
      <w:r w:rsidR="00C81E5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977EC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be discussed.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”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“</w:t>
      </w:r>
      <w:r w:rsidRPr="005C3F8B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Conclusions on the extensions is targeted for RAN#83.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”</w:t>
      </w:r>
    </w:p>
    <w:p w14:paraId="23141419" w14:textId="332CE37B" w:rsidR="005C0E12" w:rsidRPr="00D3542C" w:rsidRDefault="007A4791" w:rsidP="00D3542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During the NR-U study item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the concept of a signal </w:t>
      </w:r>
      <w:r w:rsidR="00134CA4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prior to </w:t>
      </w:r>
      <w:r w:rsidR="00DA343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NR-U transmission burst</w:t>
      </w:r>
      <w:r w:rsidR="00167BA9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DA343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67BA9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which </w:t>
      </w:r>
      <w:r w:rsidR="00167BA9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could potentially be used to detect transmissions from other networks</w:t>
      </w:r>
      <w:r w:rsidR="00167BA9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the coexistence purpose,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has been discussed [</w:t>
      </w:r>
      <w:r w:rsidR="00EF6C5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2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]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Since NR-U will </w:t>
      </w:r>
      <w:r w:rsidR="00134CA4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share spectrum with </w:t>
      </w:r>
      <w:r w:rsidR="00B412F4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other RATs including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IEEE </w:t>
      </w:r>
      <w:r w:rsidR="003A7597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802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based technologies</w:t>
      </w:r>
      <w:r w:rsidR="006C6263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21693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and</w:t>
      </w:r>
      <w:r w:rsidR="006C6263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future </w:t>
      </w:r>
      <w:r w:rsidR="00E0793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RATs</w:t>
      </w:r>
      <w:r w:rsidR="008E2BD5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93CF8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single solution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be considered. </w:t>
      </w:r>
      <w:r w:rsidR="00265C71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 of the possible solutions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would be to 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develop and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utilize a </w:t>
      </w:r>
      <w:r w:rsidR="00F76DB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signal</w:t>
      </w:r>
      <w:r w:rsidR="00F76DB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which </w:t>
      </w:r>
      <w:r w:rsidR="000C100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all RATs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would be aware of. </w:t>
      </w:r>
      <w:r w:rsidR="008E2BD5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develop the solution, it should </w:t>
      </w:r>
      <w:r w:rsidR="003A7597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be</w:t>
      </w:r>
      <w:r w:rsidR="003A759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discussed and studied </w:t>
      </w:r>
      <w:r w:rsidR="003A7597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together with other stakeholders such as 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IEEE</w:t>
      </w:r>
      <w:r w:rsidR="003A7597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802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 e.g. via LS and further on via the joint workshop planned</w:t>
      </w:r>
      <w:r w:rsidR="00E6745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RAN </w:t>
      </w:r>
      <w:r w:rsidR="00E67452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plenary</w:t>
      </w:r>
      <w:r w:rsidR="00E67452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#84</w:t>
      </w:r>
      <w:r w:rsidR="00D3542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7FDFBA9D" w14:textId="77777777" w:rsidR="00F23574" w:rsidRDefault="004246DC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C3754F"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F21693" w:rsidRPr="00F76DB2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I</w:t>
      </w:r>
      <w:r w:rsidR="00F21693" w:rsidRPr="00F6659C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f </w:t>
      </w:r>
      <w:r w:rsidR="00F21693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it </w:t>
      </w:r>
      <w:r w:rsidR="00F76DB2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would</w:t>
      </w:r>
      <w:r w:rsidR="00F21693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be agreed on upcoming RAN#83 that </w:t>
      </w:r>
      <w:r w:rsidR="00F21693" w:rsidRPr="00F76DB2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ex</w:t>
      </w:r>
      <w:r w:rsidR="00F21693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tensions</w:t>
      </w:r>
      <w:r w:rsidR="00F21693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F76DB2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of coexistence mechanism </w:t>
      </w:r>
      <w:r w:rsidR="00F21693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is considered</w:t>
      </w:r>
      <w:r w:rsidR="00F76DB2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for NR-U</w:t>
      </w:r>
      <w:r w:rsidR="00F21693" w:rsidRPr="00F6659C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="00F21693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23574" w:rsidRPr="00E51DBF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RAN1 should consider developing single solution for coexistence with other RATs</w:t>
      </w:r>
    </w:p>
    <w:p w14:paraId="42D38324" w14:textId="77777777" w:rsidR="00F23574" w:rsidRPr="00E51DBF" w:rsidRDefault="00F23574" w:rsidP="00E51DBF">
      <w:pPr>
        <w:pStyle w:val="ListParagraph"/>
        <w:numPr>
          <w:ilvl w:val="0"/>
          <w:numId w:val="13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One of the possible solutions is to utilize a signal which all RATs would be aware of</w:t>
      </w:r>
    </w:p>
    <w:p w14:paraId="14AFA5A1" w14:textId="7002AB8A" w:rsidR="004246DC" w:rsidRDefault="00F23574" w:rsidP="00E51DBF">
      <w:pPr>
        <w:pStyle w:val="ListParagraph"/>
        <w:numPr>
          <w:ilvl w:val="0"/>
          <w:numId w:val="13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C9654D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To develop the solution, it should be discussed and studied together with othe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r stakeholders such as IEEE 802</w:t>
      </w:r>
      <w:r w:rsidRPr="00C9654D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</w:p>
    <w:p w14:paraId="3171C172" w14:textId="77777777" w:rsidR="00C3754F" w:rsidRPr="00F76DB2" w:rsidRDefault="00C3754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722ECE31" w14:textId="2AADFEB1" w:rsidR="004246DC" w:rsidRPr="007239AE" w:rsidRDefault="00EB628D" w:rsidP="004246DC">
      <w:pPr>
        <w:pStyle w:val="Heading2"/>
        <w:rPr>
          <w:lang w:eastAsia="zh-CN"/>
        </w:rPr>
      </w:pPr>
      <w:r w:rsidRPr="007239AE">
        <w:lastRenderedPageBreak/>
        <w:t>C</w:t>
      </w:r>
      <w:r w:rsidR="008E715F" w:rsidRPr="007239AE">
        <w:t xml:space="preserve">ontention </w:t>
      </w:r>
      <w:r w:rsidRPr="007239AE">
        <w:t>W</w:t>
      </w:r>
      <w:r w:rsidR="008E715F" w:rsidRPr="007239AE">
        <w:t xml:space="preserve">indow </w:t>
      </w:r>
      <w:r w:rsidRPr="007239AE">
        <w:t>S</w:t>
      </w:r>
      <w:r w:rsidR="008E715F" w:rsidRPr="007239AE">
        <w:t>ize</w:t>
      </w:r>
      <w:r w:rsidRPr="007239AE">
        <w:t xml:space="preserve"> adjustment</w:t>
      </w:r>
    </w:p>
    <w:p w14:paraId="7D9A1BAE" w14:textId="06168E15" w:rsidR="004246DC" w:rsidRPr="007239AE" w:rsidRDefault="008E715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As agreed in RAN1 #94, the CWS adjustment procedure in NR-U may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addition to baseline LAA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consider a set of additional aspects specific to New Radio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7E10DC96" w14:textId="38345BD3" w:rsidR="00AC415D" w:rsidRPr="007239AE" w:rsidRDefault="008E715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Besides the aspects discussed in RAN1#94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we believe it 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should be studied whether a </w:t>
      </w:r>
      <w:r w:rsidR="007239AE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different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CWS </w:t>
      </w:r>
      <w:r w:rsidR="007239AE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adjustment procedure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should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be applied in case receiver assistance is being utilized. As discussed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e.g. 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 [</w:t>
      </w:r>
      <w:r w:rsidR="00F6659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6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594F3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F6659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7</w:t>
      </w:r>
      <w:r w:rsidR="007239AE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]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7239AE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 handshake mechanism via </w:t>
      </w:r>
      <w:r w:rsidR="00AC415D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receiver assistance methodology may be beneficial to sup</w:t>
      </w:r>
      <w:r w:rsidR="00F30F37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port the transmitting device with an indication of occupancy/non-occupancy of the radio channel, as detected by the receiving device prior to a data transmission. </w:t>
      </w:r>
    </w:p>
    <w:p w14:paraId="0E42C485" w14:textId="4BB36F84" w:rsidR="00F30F37" w:rsidRPr="007239AE" w:rsidRDefault="00F30F37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order to optimize the NR-U channel access procedure 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based on NR/NR-U specific features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we therefore propose that the CWS adjustment procedure should additionally consider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usage of receiver assisted LBT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 receiver assisted LBT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could be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based on a handshake procedure such as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an RTS/CTS type of signaling, and 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for UE assistance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to gNB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 receiver assistance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may include measurement reports from 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UE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side such as channel occupancy </w:t>
      </w:r>
      <w:r w:rsidR="008E715F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/ energy detection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measurements. </w:t>
      </w:r>
    </w:p>
    <w:p w14:paraId="67EB692A" w14:textId="3DC9E7D4" w:rsidR="00AC415D" w:rsidRPr="007239AE" w:rsidRDefault="007239AE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As indicated e.g. in</w:t>
      </w:r>
      <w:r w:rsidR="00F30F37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[</w:t>
      </w:r>
      <w:r w:rsidR="00F6659C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7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]</w:t>
      </w:r>
      <w:r w:rsidR="00265C71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F30F37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 system which is utilizing receiver assisted LBT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improves the possibility to ensure that the potential transmission can provide fair coexistence with ongoing unlicensed transmissions</w:t>
      </w:r>
      <w:r w:rsidR="00F30F37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Hence we suggest the NR-U system can allow for different </w:t>
      </w:r>
      <w:r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LBT </w:t>
      </w:r>
      <w:r w:rsidR="00F30F37" w:rsidRPr="007239AE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CWS adjustment scheme for transmission links where receiver assisted LBT is utilized.</w:t>
      </w:r>
    </w:p>
    <w:p w14:paraId="1C24E843" w14:textId="0C1B8124" w:rsidR="004246DC" w:rsidRDefault="004246DC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AC415D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In addition to baseline LAA functionality, the</w:t>
      </w:r>
      <w:r w:rsidR="0085472E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CWS adjustment procedure in NR-U </w:t>
      </w:r>
      <w:r w:rsidR="00AC415D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should</w:t>
      </w:r>
      <w:r w:rsidR="0085472E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additionally consider</w:t>
      </w:r>
      <w:r w:rsidR="00AC415D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receiver </w:t>
      </w:r>
      <w:r w:rsidR="003B7FD7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assisted LBT</w:t>
      </w:r>
      <w:r w:rsidR="00AC415D"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C01DF5F" w14:textId="77777777" w:rsidR="005369B8" w:rsidRPr="007239AE" w:rsidRDefault="005369B8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</w:p>
    <w:p w14:paraId="05B2ABE1" w14:textId="0040A4EC" w:rsidR="00D3542C" w:rsidRPr="00D66F82" w:rsidRDefault="00D3542C" w:rsidP="00D3542C">
      <w:pPr>
        <w:pStyle w:val="Heading2"/>
        <w:rPr>
          <w:lang w:eastAsia="zh-CN"/>
        </w:rPr>
      </w:pPr>
      <w:r>
        <w:t>6</w:t>
      </w:r>
      <w:r w:rsidR="003A7597">
        <w:rPr>
          <w:rFonts w:hint="eastAsia"/>
          <w:lang w:eastAsia="ja-JP"/>
        </w:rPr>
        <w:t xml:space="preserve"> </w:t>
      </w:r>
      <w:r>
        <w:t>GHz channel access</w:t>
      </w:r>
    </w:p>
    <w:p w14:paraId="16F0CAD7" w14:textId="1D5D0A76" w:rsidR="00EF6C5E" w:rsidRDefault="00EF6C5E" w:rsidP="00EF6C5E">
      <w:pPr>
        <w:pStyle w:val="Heading3"/>
        <w:rPr>
          <w:lang w:eastAsia="ja-JP"/>
        </w:rPr>
      </w:pPr>
      <w:r>
        <w:rPr>
          <w:lang w:eastAsia="ja-JP"/>
        </w:rPr>
        <w:t>Frame based equipment operation</w:t>
      </w:r>
    </w:p>
    <w:p w14:paraId="5CF14168" w14:textId="4D6BBF72" w:rsidR="005369B8" w:rsidRDefault="00D3542C" w:rsidP="00E51DBF">
      <w:pPr>
        <w:spacing w:after="0"/>
        <w:rPr>
          <w:lang w:eastAsia="ja-JP"/>
        </w:rPr>
      </w:pPr>
      <w:r>
        <w:rPr>
          <w:rFonts w:eastAsia="MS Mincho"/>
          <w:color w:val="000000" w:themeColor="text1"/>
          <w:lang w:eastAsia="ja-JP"/>
        </w:rPr>
        <w:t>Within the NR-U study item</w:t>
      </w:r>
      <w:r w:rsidR="00265C71">
        <w:rPr>
          <w:rFonts w:eastAsia="MS Mincho" w:hint="eastAsia"/>
          <w:color w:val="000000" w:themeColor="text1"/>
          <w:lang w:eastAsia="ja-JP"/>
        </w:rPr>
        <w:t>,</w:t>
      </w:r>
      <w:r>
        <w:rPr>
          <w:rFonts w:eastAsia="MS Mincho"/>
          <w:color w:val="000000" w:themeColor="text1"/>
          <w:lang w:eastAsia="ja-JP"/>
        </w:rPr>
        <w:t xml:space="preserve"> the FBE operation has been discussed [</w:t>
      </w:r>
      <w:r w:rsidR="00E67452">
        <w:rPr>
          <w:rFonts w:eastAsia="MS Mincho" w:hint="eastAsia"/>
          <w:color w:val="000000" w:themeColor="text1"/>
          <w:lang w:eastAsia="ja-JP"/>
        </w:rPr>
        <w:t>2</w:t>
      </w:r>
      <w:r>
        <w:rPr>
          <w:rFonts w:eastAsia="MS Mincho"/>
          <w:color w:val="000000" w:themeColor="text1"/>
          <w:lang w:eastAsia="ja-JP"/>
        </w:rPr>
        <w:t xml:space="preserve">]. In the study item report </w:t>
      </w:r>
      <w:r w:rsidR="005369B8">
        <w:rPr>
          <w:lang w:eastAsia="x-none"/>
        </w:rPr>
        <w:t xml:space="preserve">it is noted that </w:t>
      </w:r>
      <w:r w:rsidR="00F23574">
        <w:rPr>
          <w:lang w:eastAsia="ja-JP"/>
        </w:rPr>
        <w:t>“</w:t>
      </w:r>
      <w:r w:rsidR="005369B8" w:rsidRPr="005369B8">
        <w:rPr>
          <w:lang w:eastAsia="x-none"/>
        </w:rPr>
        <w:t>channel access mechanisms are intended to be aligned with any regulations for FBE operation</w:t>
      </w:r>
      <w:r w:rsidR="005369B8">
        <w:rPr>
          <w:lang w:eastAsia="x-none"/>
        </w:rPr>
        <w:t>.</w:t>
      </w:r>
      <w:r w:rsidR="00F23574">
        <w:rPr>
          <w:lang w:eastAsia="ja-JP"/>
        </w:rPr>
        <w:t>”</w:t>
      </w:r>
    </w:p>
    <w:p w14:paraId="22C89BF0" w14:textId="1A15D8BF" w:rsidR="005369B8" w:rsidRPr="005369B8" w:rsidRDefault="00E56F8A" w:rsidP="00E51DBF">
      <w:pPr>
        <w:rPr>
          <w:lang w:eastAsia="x-none"/>
        </w:rPr>
      </w:pPr>
      <w:r>
        <w:rPr>
          <w:lang w:eastAsia="x-none"/>
        </w:rPr>
        <w:t>However</w:t>
      </w:r>
      <w:r w:rsidR="005369B8">
        <w:rPr>
          <w:lang w:eastAsia="x-none"/>
        </w:rPr>
        <w:t xml:space="preserve"> </w:t>
      </w:r>
      <w:r w:rsidR="005F1734">
        <w:rPr>
          <w:rFonts w:hint="eastAsia"/>
          <w:lang w:eastAsia="ja-JP"/>
        </w:rPr>
        <w:t xml:space="preserve">the rulemaking </w:t>
      </w:r>
      <w:r w:rsidR="00A25CE6">
        <w:rPr>
          <w:rFonts w:hint="eastAsia"/>
          <w:lang w:eastAsia="ja-JP"/>
        </w:rPr>
        <w:t>for</w:t>
      </w:r>
      <w:r w:rsidR="005F1734">
        <w:rPr>
          <w:rFonts w:hint="eastAsia"/>
          <w:lang w:eastAsia="ja-JP"/>
        </w:rPr>
        <w:t xml:space="preserve"> unlicensed use of 6 GHz </w:t>
      </w:r>
      <w:r w:rsidR="0040242B">
        <w:rPr>
          <w:rFonts w:hint="eastAsia"/>
          <w:lang w:eastAsia="ja-JP"/>
        </w:rPr>
        <w:t xml:space="preserve">band </w:t>
      </w:r>
      <w:r w:rsidR="00A25CE6">
        <w:rPr>
          <w:rFonts w:hint="eastAsia"/>
          <w:lang w:eastAsia="ja-JP"/>
        </w:rPr>
        <w:t>is under discussion</w:t>
      </w:r>
      <w:r w:rsidR="00F23574">
        <w:rPr>
          <w:rFonts w:hint="eastAsia"/>
          <w:lang w:eastAsia="ja-JP"/>
        </w:rPr>
        <w:t xml:space="preserve"> [5]</w:t>
      </w:r>
      <w:r w:rsidR="005F1734">
        <w:rPr>
          <w:rFonts w:hint="eastAsia"/>
          <w:lang w:eastAsia="ja-JP"/>
        </w:rPr>
        <w:t>.</w:t>
      </w:r>
      <w:r w:rsidR="005369B8">
        <w:rPr>
          <w:lang w:eastAsia="x-none"/>
        </w:rPr>
        <w:t xml:space="preserve"> Therefore we suggest </w:t>
      </w:r>
      <w:r w:rsidR="00B83E67">
        <w:rPr>
          <w:rFonts w:hint="eastAsia"/>
          <w:lang w:eastAsia="ja-JP"/>
        </w:rPr>
        <w:t>F</w:t>
      </w:r>
      <w:r w:rsidR="00B83E67">
        <w:rPr>
          <w:lang w:eastAsia="x-none"/>
        </w:rPr>
        <w:t xml:space="preserve">BE </w:t>
      </w:r>
      <w:r w:rsidR="005369B8">
        <w:rPr>
          <w:lang w:eastAsia="x-none"/>
        </w:rPr>
        <w:t xml:space="preserve">operation </w:t>
      </w:r>
      <w:r w:rsidR="005B7ECD">
        <w:rPr>
          <w:rFonts w:hint="eastAsia"/>
          <w:lang w:eastAsia="ja-JP"/>
        </w:rPr>
        <w:t xml:space="preserve">should not be considered </w:t>
      </w:r>
      <w:r w:rsidR="005369B8">
        <w:rPr>
          <w:lang w:eastAsia="x-none"/>
        </w:rPr>
        <w:t>for the 6</w:t>
      </w:r>
      <w:r w:rsidR="003A7597">
        <w:rPr>
          <w:rFonts w:hint="eastAsia"/>
          <w:lang w:eastAsia="ja-JP"/>
        </w:rPr>
        <w:t xml:space="preserve"> </w:t>
      </w:r>
      <w:r w:rsidR="005369B8">
        <w:rPr>
          <w:lang w:eastAsia="x-none"/>
        </w:rPr>
        <w:t xml:space="preserve">GHz until </w:t>
      </w:r>
      <w:r w:rsidR="005F1734">
        <w:rPr>
          <w:rFonts w:hint="eastAsia"/>
          <w:lang w:eastAsia="ja-JP"/>
        </w:rPr>
        <w:t>the rulemaking completes.</w:t>
      </w:r>
    </w:p>
    <w:p w14:paraId="3023B59F" w14:textId="00157A3D" w:rsidR="005369B8" w:rsidRDefault="005369B8" w:rsidP="005369B8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For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6</w:t>
      </w:r>
      <w:r w:rsidR="003A7597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GHz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FBE operation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should not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be considered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until the</w:t>
      </w:r>
      <w:r w:rsidR="005F1734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rulemaking </w:t>
      </w:r>
      <w:r w:rsidR="00F765D7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for the use of 6 GHz band </w:t>
      </w:r>
      <w:r w:rsidR="005F1734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completes.</w:t>
      </w:r>
    </w:p>
    <w:p w14:paraId="66E07553" w14:textId="77777777" w:rsidR="005369B8" w:rsidRPr="007239AE" w:rsidRDefault="005369B8" w:rsidP="005369B8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</w:p>
    <w:p w14:paraId="37629A46" w14:textId="526D66F0" w:rsidR="005369B8" w:rsidRDefault="00465669" w:rsidP="00EF6C5E">
      <w:pPr>
        <w:pStyle w:val="Heading3"/>
      </w:pPr>
      <w:r>
        <w:rPr>
          <w:rFonts w:hint="eastAsia"/>
          <w:lang w:eastAsia="ja-JP"/>
        </w:rPr>
        <w:t>Flexibility and r</w:t>
      </w:r>
      <w:r w:rsidR="00A93CF8">
        <w:rPr>
          <w:rFonts w:hint="eastAsia"/>
          <w:lang w:eastAsia="ja-JP"/>
        </w:rPr>
        <w:t>ec</w:t>
      </w:r>
      <w:r w:rsidR="005369B8">
        <w:t>onfigurab</w:t>
      </w:r>
      <w:r>
        <w:rPr>
          <w:rFonts w:hint="eastAsia"/>
          <w:lang w:eastAsia="ja-JP"/>
        </w:rPr>
        <w:t>ility of</w:t>
      </w:r>
      <w:r w:rsidR="005369B8">
        <w:t xml:space="preserve"> channel access parameters</w:t>
      </w:r>
    </w:p>
    <w:p w14:paraId="1E707B30" w14:textId="05A2AE67" w:rsidR="00881175" w:rsidRDefault="006474CC" w:rsidP="00104830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265C71">
        <w:rPr>
          <w:rFonts w:hint="eastAsia"/>
          <w:lang w:eastAsia="ja-JP"/>
        </w:rPr>
        <w:t>Notice of Proposed Rulemaking (</w:t>
      </w:r>
      <w:r>
        <w:rPr>
          <w:rFonts w:hint="eastAsia"/>
          <w:lang w:eastAsia="ja-JP"/>
        </w:rPr>
        <w:t>NPRM</w:t>
      </w:r>
      <w:r w:rsidR="00265C71">
        <w:rPr>
          <w:rFonts w:hint="eastAsia"/>
          <w:lang w:eastAsia="ja-JP"/>
        </w:rPr>
        <w:t>)</w:t>
      </w:r>
      <w:r w:rsidR="006C70EB">
        <w:rPr>
          <w:rFonts w:hint="eastAsia"/>
          <w:lang w:eastAsia="ja-JP"/>
        </w:rPr>
        <w:t xml:space="preserve"> </w:t>
      </w:r>
      <w:r w:rsidR="00265C71">
        <w:rPr>
          <w:rFonts w:hint="eastAsia"/>
          <w:lang w:eastAsia="ja-JP"/>
        </w:rPr>
        <w:t xml:space="preserve">issued by FCC </w:t>
      </w:r>
      <w:r w:rsidR="006C70EB"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 xml:space="preserve">, </w:t>
      </w:r>
      <w:r w:rsidR="00657190">
        <w:rPr>
          <w:rFonts w:hint="eastAsia"/>
          <w:lang w:eastAsia="ja-JP"/>
        </w:rPr>
        <w:t xml:space="preserve">it has been proposed that </w:t>
      </w:r>
      <w:r>
        <w:rPr>
          <w:rFonts w:hint="eastAsia"/>
          <w:lang w:eastAsia="ja-JP"/>
        </w:rPr>
        <w:t xml:space="preserve">access points </w:t>
      </w:r>
      <w:r w:rsidR="00104830">
        <w:rPr>
          <w:rFonts w:hint="eastAsia"/>
          <w:lang w:eastAsia="ja-JP"/>
        </w:rPr>
        <w:t xml:space="preserve">(e.g. gNBs) </w:t>
      </w:r>
      <w:r>
        <w:rPr>
          <w:rFonts w:hint="eastAsia"/>
          <w:lang w:eastAsia="ja-JP"/>
        </w:rPr>
        <w:t xml:space="preserve">that intend to use U-NII-5 </w:t>
      </w:r>
      <w:r w:rsidR="00F23574">
        <w:rPr>
          <w:rFonts w:hint="eastAsia"/>
          <w:lang w:eastAsia="ja-JP"/>
        </w:rPr>
        <w:t xml:space="preserve">(5,925 </w:t>
      </w:r>
      <w:r w:rsidR="00F23574">
        <w:rPr>
          <w:lang w:eastAsia="ja-JP"/>
        </w:rPr>
        <w:t>–</w:t>
      </w:r>
      <w:r w:rsidR="00F23574">
        <w:rPr>
          <w:rFonts w:hint="eastAsia"/>
          <w:lang w:eastAsia="ja-JP"/>
        </w:rPr>
        <w:t xml:space="preserve"> 6,425 MHz) </w:t>
      </w:r>
      <w:r>
        <w:rPr>
          <w:rFonts w:hint="eastAsia"/>
          <w:lang w:eastAsia="ja-JP"/>
        </w:rPr>
        <w:t xml:space="preserve">and U-NII-7 </w:t>
      </w:r>
      <w:r w:rsidR="00F23574">
        <w:rPr>
          <w:rFonts w:hint="eastAsia"/>
          <w:lang w:eastAsia="ja-JP"/>
        </w:rPr>
        <w:t xml:space="preserve">(6,525 </w:t>
      </w:r>
      <w:r w:rsidR="00F23574">
        <w:rPr>
          <w:lang w:eastAsia="ja-JP"/>
        </w:rPr>
        <w:t>–</w:t>
      </w:r>
      <w:r w:rsidR="00F23574">
        <w:rPr>
          <w:rFonts w:hint="eastAsia"/>
          <w:lang w:eastAsia="ja-JP"/>
        </w:rPr>
        <w:t xml:space="preserve"> 6,875 MHz) </w:t>
      </w:r>
      <w:r>
        <w:rPr>
          <w:rFonts w:hint="eastAsia"/>
          <w:lang w:eastAsia="ja-JP"/>
        </w:rPr>
        <w:t xml:space="preserve">bands be required to access </w:t>
      </w:r>
      <w:r w:rsidR="00881175">
        <w:rPr>
          <w:rFonts w:hint="eastAsia"/>
          <w:lang w:eastAsia="ja-JP"/>
        </w:rPr>
        <w:t xml:space="preserve">to </w:t>
      </w:r>
      <w:r>
        <w:rPr>
          <w:rFonts w:hint="eastAsia"/>
          <w:lang w:eastAsia="ja-JP"/>
        </w:rPr>
        <w:t xml:space="preserve">an </w:t>
      </w:r>
      <w:r w:rsidR="00292726">
        <w:rPr>
          <w:rFonts w:hint="eastAsia"/>
          <w:lang w:eastAsia="ja-JP"/>
        </w:rPr>
        <w:t>Automated Frequency Coordination (AF</w:t>
      </w:r>
      <w:r w:rsidR="00F37121">
        <w:rPr>
          <w:rFonts w:hint="eastAsia"/>
          <w:lang w:eastAsia="ja-JP"/>
        </w:rPr>
        <w:t>C</w:t>
      </w:r>
      <w:r w:rsidR="00292726">
        <w:rPr>
          <w:rFonts w:hint="eastAsia"/>
          <w:lang w:eastAsia="ja-JP"/>
        </w:rPr>
        <w:t xml:space="preserve">) </w:t>
      </w:r>
      <w:r>
        <w:rPr>
          <w:rFonts w:hint="eastAsia"/>
          <w:lang w:eastAsia="ja-JP"/>
        </w:rPr>
        <w:t xml:space="preserve">system prior to initial radio transmission, where the AFC system </w:t>
      </w:r>
      <w:r w:rsidR="00292726">
        <w:rPr>
          <w:rFonts w:hint="eastAsia"/>
          <w:lang w:eastAsia="ja-JP"/>
        </w:rPr>
        <w:t xml:space="preserve">is </w:t>
      </w:r>
      <w:r w:rsidR="0040012C">
        <w:rPr>
          <w:rFonts w:hint="eastAsia"/>
          <w:lang w:eastAsia="ja-JP"/>
        </w:rPr>
        <w:t xml:space="preserve">defined as </w:t>
      </w:r>
      <w:r w:rsidR="0040012C">
        <w:rPr>
          <w:lang w:eastAsia="ja-JP"/>
        </w:rPr>
        <w:t>a system that automatically determines and</w:t>
      </w:r>
      <w:r w:rsidR="0040012C">
        <w:rPr>
          <w:rFonts w:hint="eastAsia"/>
          <w:lang w:eastAsia="ja-JP"/>
        </w:rPr>
        <w:t xml:space="preserve"> </w:t>
      </w:r>
      <w:r w:rsidR="0040012C">
        <w:rPr>
          <w:lang w:eastAsia="ja-JP"/>
        </w:rPr>
        <w:t xml:space="preserve">provides lists of which frequencies are available for use by access points operating in the </w:t>
      </w:r>
      <w:r w:rsidR="0040012C">
        <w:rPr>
          <w:rFonts w:hint="eastAsia"/>
          <w:lang w:eastAsia="ja-JP"/>
        </w:rPr>
        <w:t>U-NII-5</w:t>
      </w:r>
      <w:r w:rsidR="0040012C">
        <w:rPr>
          <w:lang w:eastAsia="ja-JP"/>
        </w:rPr>
        <w:t xml:space="preserve"> and </w:t>
      </w:r>
      <w:r w:rsidR="0040012C">
        <w:rPr>
          <w:rFonts w:hint="eastAsia"/>
          <w:lang w:eastAsia="ja-JP"/>
        </w:rPr>
        <w:t>U-NII-7</w:t>
      </w:r>
      <w:r w:rsidR="0040012C">
        <w:rPr>
          <w:lang w:eastAsia="ja-JP"/>
        </w:rPr>
        <w:t xml:space="preserve"> bands</w:t>
      </w:r>
      <w:r w:rsidR="0040012C">
        <w:rPr>
          <w:rFonts w:hint="eastAsia"/>
          <w:lang w:eastAsia="ja-JP"/>
        </w:rPr>
        <w:t xml:space="preserve">, </w:t>
      </w:r>
      <w:r w:rsidR="007A3C3B">
        <w:rPr>
          <w:rFonts w:hint="eastAsia"/>
          <w:lang w:eastAsia="ja-JP"/>
        </w:rPr>
        <w:t xml:space="preserve">and </w:t>
      </w:r>
      <w:r w:rsidR="00881175">
        <w:rPr>
          <w:rFonts w:hint="eastAsia"/>
          <w:lang w:eastAsia="ja-JP"/>
        </w:rPr>
        <w:t>client device</w:t>
      </w:r>
      <w:r w:rsidR="00104830">
        <w:rPr>
          <w:rFonts w:hint="eastAsia"/>
          <w:lang w:eastAsia="ja-JP"/>
        </w:rPr>
        <w:t>s</w:t>
      </w:r>
      <w:r w:rsidR="00881175">
        <w:rPr>
          <w:rFonts w:hint="eastAsia"/>
          <w:lang w:eastAsia="ja-JP"/>
        </w:rPr>
        <w:t xml:space="preserve"> (e.g. UE</w:t>
      </w:r>
      <w:r w:rsidR="00104830">
        <w:rPr>
          <w:rFonts w:hint="eastAsia"/>
          <w:lang w:eastAsia="ja-JP"/>
        </w:rPr>
        <w:t>s</w:t>
      </w:r>
      <w:r w:rsidR="00881175">
        <w:rPr>
          <w:rFonts w:hint="eastAsia"/>
          <w:lang w:eastAsia="ja-JP"/>
        </w:rPr>
        <w:t>)</w:t>
      </w:r>
      <w:r w:rsidR="00104830">
        <w:rPr>
          <w:rFonts w:hint="eastAsia"/>
          <w:lang w:eastAsia="ja-JP"/>
        </w:rPr>
        <w:t xml:space="preserve"> </w:t>
      </w:r>
      <w:r w:rsidR="00104830">
        <w:rPr>
          <w:lang w:eastAsia="ja-JP"/>
        </w:rPr>
        <w:t>that operate in the U-NII-5 and U</w:t>
      </w:r>
      <w:r w:rsidR="00104830">
        <w:rPr>
          <w:rFonts w:hint="eastAsia"/>
          <w:lang w:eastAsia="ja-JP"/>
        </w:rPr>
        <w:t>-</w:t>
      </w:r>
      <w:r w:rsidR="00104830">
        <w:rPr>
          <w:lang w:eastAsia="ja-JP"/>
        </w:rPr>
        <w:t>NII-7 bands</w:t>
      </w:r>
      <w:r w:rsidR="00104830">
        <w:rPr>
          <w:rFonts w:hint="eastAsia"/>
          <w:lang w:eastAsia="ja-JP"/>
        </w:rPr>
        <w:t xml:space="preserve"> are required to be </w:t>
      </w:r>
      <w:r w:rsidR="00104830" w:rsidRPr="00104830">
        <w:rPr>
          <w:lang w:eastAsia="ja-JP"/>
        </w:rPr>
        <w:t xml:space="preserve">under the control of </w:t>
      </w:r>
      <w:r w:rsidR="00104830">
        <w:rPr>
          <w:rFonts w:hint="eastAsia"/>
          <w:lang w:eastAsia="ja-JP"/>
        </w:rPr>
        <w:t>such</w:t>
      </w:r>
      <w:r w:rsidR="00104830" w:rsidRPr="00104830">
        <w:rPr>
          <w:lang w:eastAsia="ja-JP"/>
        </w:rPr>
        <w:t xml:space="preserve"> access point</w:t>
      </w:r>
      <w:r w:rsidR="00104830">
        <w:rPr>
          <w:rFonts w:hint="eastAsia"/>
          <w:lang w:eastAsia="ja-JP"/>
        </w:rPr>
        <w:t>s</w:t>
      </w:r>
      <w:r w:rsidR="00104830" w:rsidRPr="00104830">
        <w:rPr>
          <w:lang w:eastAsia="ja-JP"/>
        </w:rPr>
        <w:t>.</w:t>
      </w:r>
      <w:r w:rsidR="00104830">
        <w:rPr>
          <w:rFonts w:hint="eastAsia"/>
          <w:lang w:eastAsia="ja-JP"/>
        </w:rPr>
        <w:t xml:space="preserve"> These proposed rules would impose NR-U channel access parameters to be reconfigurable in order to respond to the spectrum availability information from an AFC system. </w:t>
      </w:r>
      <w:r w:rsidR="00396B27">
        <w:rPr>
          <w:rFonts w:hint="eastAsia"/>
          <w:lang w:eastAsia="ja-JP"/>
        </w:rPr>
        <w:t>Not only s</w:t>
      </w:r>
      <w:r w:rsidR="00465669">
        <w:rPr>
          <w:rFonts w:hint="eastAsia"/>
          <w:lang w:eastAsia="ja-JP"/>
        </w:rPr>
        <w:t xml:space="preserve">imilar </w:t>
      </w:r>
      <w:r w:rsidR="00396B27">
        <w:rPr>
          <w:rFonts w:hint="eastAsia"/>
          <w:lang w:eastAsia="ja-JP"/>
        </w:rPr>
        <w:t xml:space="preserve">but also dissimilar </w:t>
      </w:r>
      <w:r w:rsidR="00465669">
        <w:rPr>
          <w:rFonts w:hint="eastAsia"/>
          <w:lang w:eastAsia="ja-JP"/>
        </w:rPr>
        <w:t xml:space="preserve">regulatory framework </w:t>
      </w:r>
      <w:r w:rsidR="00D2036F">
        <w:rPr>
          <w:rFonts w:hint="eastAsia"/>
          <w:lang w:eastAsia="ja-JP"/>
        </w:rPr>
        <w:t xml:space="preserve">and the rules </w:t>
      </w:r>
      <w:r w:rsidR="00465669">
        <w:rPr>
          <w:rFonts w:hint="eastAsia"/>
          <w:lang w:eastAsia="ja-JP"/>
        </w:rPr>
        <w:t>could be proposed also in the other national regulatory authorities.</w:t>
      </w:r>
    </w:p>
    <w:p w14:paraId="7EE320C4" w14:textId="3190EDEB" w:rsidR="005369B8" w:rsidRDefault="00EF6C5E" w:rsidP="005369B8">
      <w:r>
        <w:rPr>
          <w:lang w:eastAsia="ja-JP"/>
        </w:rPr>
        <w:t>It is expected that the NR-U operation in 6</w:t>
      </w:r>
      <w:r w:rsidR="00465669">
        <w:rPr>
          <w:rFonts w:hint="eastAsia"/>
          <w:lang w:eastAsia="ja-JP"/>
        </w:rPr>
        <w:t xml:space="preserve"> </w:t>
      </w:r>
      <w:r>
        <w:rPr>
          <w:lang w:eastAsia="ja-JP"/>
        </w:rPr>
        <w:t>GHz will require compliance to such local regulation</w:t>
      </w:r>
      <w:r w:rsidR="00465669">
        <w:rPr>
          <w:rFonts w:hint="eastAsia"/>
          <w:lang w:eastAsia="ja-JP"/>
        </w:rPr>
        <w:t>s</w:t>
      </w:r>
      <w:r>
        <w:rPr>
          <w:lang w:eastAsia="ja-JP"/>
        </w:rPr>
        <w:t xml:space="preserve"> [</w:t>
      </w:r>
      <w:r w:rsidR="00E842E1">
        <w:rPr>
          <w:rFonts w:hint="eastAsia"/>
          <w:lang w:eastAsia="ja-JP"/>
        </w:rPr>
        <w:t>5</w:t>
      </w:r>
      <w:r>
        <w:rPr>
          <w:lang w:eastAsia="ja-JP"/>
        </w:rPr>
        <w:t>]</w:t>
      </w:r>
      <w:r w:rsidR="00F37121">
        <w:rPr>
          <w:rFonts w:hint="eastAsia"/>
          <w:lang w:eastAsia="ja-JP"/>
        </w:rPr>
        <w:t xml:space="preserve">. </w:t>
      </w:r>
      <w:r w:rsidR="00F80AF6">
        <w:rPr>
          <w:lang w:eastAsia="ja-JP"/>
        </w:rPr>
        <w:t xml:space="preserve">In order to design NR-U with flexibility </w:t>
      </w:r>
      <w:r w:rsidR="00465669">
        <w:rPr>
          <w:rFonts w:hint="eastAsia"/>
          <w:lang w:eastAsia="ja-JP"/>
        </w:rPr>
        <w:t xml:space="preserve">and reconfigurability </w:t>
      </w:r>
      <w:r w:rsidR="00F80AF6">
        <w:rPr>
          <w:lang w:eastAsia="ja-JP"/>
        </w:rPr>
        <w:t xml:space="preserve">to </w:t>
      </w:r>
      <w:r w:rsidR="005603EF">
        <w:rPr>
          <w:rFonts w:hint="eastAsia"/>
          <w:lang w:eastAsia="ja-JP"/>
        </w:rPr>
        <w:t>support any</w:t>
      </w:r>
      <w:r w:rsidR="005603EF">
        <w:rPr>
          <w:lang w:eastAsia="ja-JP"/>
        </w:rPr>
        <w:t xml:space="preserve"> </w:t>
      </w:r>
      <w:r w:rsidR="00F80AF6">
        <w:rPr>
          <w:lang w:eastAsia="ja-JP"/>
        </w:rPr>
        <w:t>regulat</w:t>
      </w:r>
      <w:r w:rsidR="00465669">
        <w:rPr>
          <w:rFonts w:hint="eastAsia"/>
          <w:lang w:eastAsia="ja-JP"/>
        </w:rPr>
        <w:t>ory</w:t>
      </w:r>
      <w:r w:rsidR="00F80AF6">
        <w:rPr>
          <w:lang w:eastAsia="ja-JP"/>
        </w:rPr>
        <w:t xml:space="preserve"> requirements for channel access we propose that NR-U include functionality to modify</w:t>
      </w:r>
      <w:r w:rsidR="005603EF">
        <w:rPr>
          <w:rFonts w:hint="eastAsia"/>
          <w:lang w:eastAsia="ja-JP"/>
        </w:rPr>
        <w:t xml:space="preserve"> and reconfigure</w:t>
      </w:r>
      <w:r w:rsidR="00F80AF6">
        <w:rPr>
          <w:lang w:eastAsia="ja-JP"/>
        </w:rPr>
        <w:t xml:space="preserve"> channel access parameters </w:t>
      </w:r>
      <w:r w:rsidR="001E6B6C">
        <w:rPr>
          <w:rFonts w:hint="eastAsia"/>
          <w:lang w:eastAsia="ja-JP"/>
        </w:rPr>
        <w:t xml:space="preserve">(e.g. </w:t>
      </w:r>
      <w:r w:rsidR="001E6B6C">
        <w:rPr>
          <w:lang w:eastAsia="ja-JP"/>
        </w:rPr>
        <w:t>energy</w:t>
      </w:r>
      <w:r w:rsidR="001E6B6C">
        <w:rPr>
          <w:rFonts w:hint="eastAsia"/>
          <w:lang w:eastAsia="ja-JP"/>
        </w:rPr>
        <w:t xml:space="preserve"> detection threshold, conducted </w:t>
      </w:r>
      <w:r w:rsidR="00E67452">
        <w:rPr>
          <w:rFonts w:hint="eastAsia"/>
          <w:lang w:eastAsia="ja-JP"/>
        </w:rPr>
        <w:t>output</w:t>
      </w:r>
      <w:r w:rsidR="001E6B6C">
        <w:rPr>
          <w:rFonts w:hint="eastAsia"/>
          <w:lang w:eastAsia="ja-JP"/>
        </w:rPr>
        <w:t xml:space="preserve"> power) </w:t>
      </w:r>
      <w:r w:rsidR="00F80AF6">
        <w:rPr>
          <w:lang w:eastAsia="ja-JP"/>
        </w:rPr>
        <w:t xml:space="preserve">for an NR-U cell. </w:t>
      </w:r>
    </w:p>
    <w:p w14:paraId="5DA8EA98" w14:textId="368CBFB4" w:rsidR="005369B8" w:rsidRDefault="005369B8" w:rsidP="005369B8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="00F80AF6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6C70EB" w:rsidRPr="00E51DBF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="006C70EB" w:rsidRP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="00F80AF6" w:rsidRPr="00F80AF6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="00F80AF6" w:rsidRP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 w:rsid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</w:t>
      </w:r>
      <w:r w:rsidR="00465669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have flexibility and reconfigurability</w:t>
      </w:r>
      <w:r w:rsidR="00F23574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order </w:t>
      </w:r>
      <w:r w:rsidR="00F23574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to be able to support any regulatory requirements</w:t>
      </w:r>
      <w:r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30B75E8A" w14:textId="77777777" w:rsidR="00D3542C" w:rsidRPr="00F765D7" w:rsidRDefault="00D3542C" w:rsidP="00BE0768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</w:p>
    <w:p w14:paraId="427FB771" w14:textId="77777777" w:rsidR="004246DC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Conclusions</w:t>
      </w:r>
    </w:p>
    <w:p w14:paraId="659CA335" w14:textId="1324EBAE" w:rsidR="00C3754F" w:rsidRPr="00CF49C3" w:rsidRDefault="004246DC" w:rsidP="00CF49C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45A7726" w14:textId="331D2FD4" w:rsidR="004024A6" w:rsidRDefault="00F80AF6" w:rsidP="004024A6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Proposal 1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657190" w:rsidRPr="00F76DB2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I</w:t>
      </w:r>
      <w:r w:rsidR="00657190" w:rsidRPr="00852A1A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f </w:t>
      </w:r>
      <w:r w:rsidR="00657190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it would be agreed on upcoming RAN#83 that </w:t>
      </w:r>
      <w:r w:rsidR="00657190" w:rsidRPr="00F76DB2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ex</w:t>
      </w:r>
      <w:r w:rsidR="00657190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tensions</w:t>
      </w:r>
      <w:r w:rsidR="00657190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of coexistence mechanism is considered for NR-U</w:t>
      </w:r>
      <w:r w:rsidR="00657190" w:rsidRPr="00852A1A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="00657190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024A6" w:rsidRPr="00C9654D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RAN1 should consider developing single solution for </w:t>
      </w:r>
      <w:r w:rsidR="004024A6" w:rsidRPr="00C9654D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coexistence</w:t>
      </w:r>
      <w:r w:rsidR="004024A6" w:rsidRPr="00C9654D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with other RATs</w:t>
      </w:r>
    </w:p>
    <w:p w14:paraId="111EBE8D" w14:textId="77777777" w:rsidR="004024A6" w:rsidRDefault="004024A6" w:rsidP="00E51DBF">
      <w:pPr>
        <w:pStyle w:val="ListParagraph"/>
        <w:numPr>
          <w:ilvl w:val="0"/>
          <w:numId w:val="13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One of the possible solutions is to utilize a signal which all RATs would be aware of</w:t>
      </w:r>
    </w:p>
    <w:p w14:paraId="514CA244" w14:textId="29AAA21E" w:rsidR="00F80AF6" w:rsidRPr="00F765D7" w:rsidRDefault="004024A6" w:rsidP="00E51DBF">
      <w:pPr>
        <w:pStyle w:val="ListParagraph"/>
        <w:numPr>
          <w:ilvl w:val="0"/>
          <w:numId w:val="13"/>
        </w:numPr>
        <w:spacing w:after="12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 w:rsidRPr="00F765D7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To develop the solution, it should be discussed and studied together with other stakeholders such as IEEE 802</w:t>
      </w:r>
    </w:p>
    <w:p w14:paraId="0C234BEB" w14:textId="1E1F10EB" w:rsidR="00F80AF6" w:rsidRDefault="00F80AF6" w:rsidP="00F80AF6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2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In addition to baseline LAA functionality, the CWS adjustment procedure in NR-U should additionally consider receiver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assisted LBT</w:t>
      </w:r>
      <w:r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6CD3452" w14:textId="0DDABF38" w:rsidR="00F80AF6" w:rsidRDefault="00F80AF6" w:rsidP="00F80AF6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7239AE"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For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6</w:t>
      </w:r>
      <w:r w:rsidR="005603E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GHz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FBE operation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should not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be considered</w:t>
      </w:r>
      <w:r w:rsidRPr="005369B8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until 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the rulemaking for the use of 6 GHz band completes</w:t>
      </w:r>
      <w:r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DC18246" w14:textId="607F607F" w:rsidR="00F80AF6" w:rsidRDefault="00F80AF6" w:rsidP="00F80AF6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7239AE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460371">
        <w:rPr>
          <w:rFonts w:ascii="Times New Roman" w:eastAsia="MS Mincho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>
        <w:rPr>
          <w:rFonts w:ascii="Times New Roman" w:eastAsia="MS Mincho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</w:t>
      </w:r>
      <w:r w:rsidR="006C70EB" w:rsidRPr="00E51DBF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RAN1 should design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c</w:t>
      </w:r>
      <w:r w:rsidRPr="00F80AF6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hannel access</w:t>
      </w:r>
      <w:r w:rsidRP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parameters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used by an NR-U cell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have</w:t>
      </w:r>
      <w:r w:rsidR="00F765D7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DA3435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flexibility and</w:t>
      </w:r>
      <w:r w:rsidRP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re</w:t>
      </w:r>
      <w:r w:rsidRP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configurab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i</w:t>
      </w:r>
      <w:r w:rsidRPr="00F80AF6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l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ity</w:t>
      </w:r>
      <w:bookmarkStart w:id="0" w:name="_GoBack"/>
      <w:bookmarkEnd w:id="0"/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order 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</w:t>
      </w:r>
      <w:r w:rsidR="006C70EB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be able to </w:t>
      </w:r>
      <w:r w:rsidR="00D2036F">
        <w:rPr>
          <w:rFonts w:ascii="Times New Roman" w:eastAsia="MS Mincho" w:hAnsi="Times New Roman" w:cs="Times New Roman" w:hint="eastAsia"/>
          <w:i/>
          <w:color w:val="000000" w:themeColor="text1"/>
          <w:sz w:val="22"/>
          <w:szCs w:val="22"/>
          <w:lang w:eastAsia="ja-JP"/>
        </w:rPr>
        <w:t>support any regulatory requirements</w:t>
      </w:r>
      <w:r w:rsidRPr="007239AE"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3BC088C9" w14:textId="77777777" w:rsidR="004246DC" w:rsidRPr="00F92CF5" w:rsidRDefault="004246DC" w:rsidP="004246DC">
      <w:pPr>
        <w:rPr>
          <w:rFonts w:eastAsia="MS Mincho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3B727BD2" w:rsidR="004246DC" w:rsidRPr="008876C4" w:rsidRDefault="00594F37" w:rsidP="00594F37">
      <w:pPr>
        <w:pStyle w:val="Normal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765D7" w:rsidRPr="007F7A8D">
        <w:rPr>
          <w:rFonts w:ascii="Times New Roman" w:hAnsi="Times New Roman" w:cs="Times New Roman"/>
          <w:sz w:val="22"/>
          <w:szCs w:val="22"/>
        </w:rPr>
        <w:t>RP-182878</w:t>
      </w:r>
      <w:r w:rsidR="00F765D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</w:t>
      </w:r>
      <w:r w:rsidR="00F765D7"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="00F765D7" w:rsidRPr="0039605E">
        <w:rPr>
          <w:rFonts w:ascii="Times New Roman" w:eastAsiaTheme="minorEastAsia" w:hAnsi="Times New Roman" w:cs="Times New Roman"/>
          <w:sz w:val="22"/>
          <w:szCs w:val="22"/>
          <w:lang w:eastAsia="ja-JP"/>
        </w:rPr>
        <w:t>New WID on NR-based Access to Unlicensed Spectrum</w:t>
      </w:r>
      <w:r w:rsidR="00F765D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="00F765D7"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 w:rsidR="00F765D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RAN plenary #82, December 2018.</w:t>
      </w:r>
    </w:p>
    <w:p w14:paraId="5FCC85A1" w14:textId="11A5D4A3" w:rsidR="006F5283" w:rsidRPr="00F6659C" w:rsidRDefault="006F5283" w:rsidP="00696312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96312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TR </w:t>
      </w:r>
      <w:r w:rsidR="00EF6C5E">
        <w:rPr>
          <w:rFonts w:ascii="Times New Roman" w:hAnsi="Times New Roman" w:cs="Times New Roman"/>
          <w:sz w:val="22"/>
          <w:szCs w:val="22"/>
        </w:rPr>
        <w:t>38.889</w:t>
      </w:r>
      <w:r w:rsidR="00696312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 v16.0.0,</w:t>
      </w:r>
      <w:r w:rsid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 w:rsidR="00696312" w:rsidRPr="00696312">
        <w:t xml:space="preserve"> </w:t>
      </w:r>
      <w:r w:rsidR="00696312"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Study on NR-based access to unlicensed spectrum</w:t>
      </w:r>
      <w:r w:rsidR="00696312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 w:rsidR="00696312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December 2018.</w:t>
      </w:r>
    </w:p>
    <w:p w14:paraId="2D394B2F" w14:textId="622DB252" w:rsidR="003F00AD" w:rsidRPr="00F6659C" w:rsidRDefault="003F00AD" w:rsidP="003F00AD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F00AD">
        <w:rPr>
          <w:rFonts w:ascii="Times New Roman" w:eastAsiaTheme="minorEastAsia" w:hAnsi="Times New Roman" w:cs="Times New Roman"/>
          <w:sz w:val="22"/>
          <w:szCs w:val="22"/>
          <w:lang w:eastAsia="ja-JP"/>
        </w:rPr>
        <w:t>ETSI EN 301 893</w:t>
      </w:r>
      <w:r w:rsidR="00B83E6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</w:t>
      </w:r>
      <w:r w:rsidR="00B83E67" w:rsidRPr="00852A1A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v2.1.1</w:t>
      </w:r>
      <w:r w:rsidRPr="00B83E6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</w:t>
      </w:r>
      <w:r w:rsidRPr="00B83E67">
        <w:rPr>
          <w:rFonts w:ascii="Times New Roman" w:eastAsiaTheme="minorEastAsia" w:hAnsi="Times New Roman" w:cs="Times New Roman"/>
          <w:sz w:val="22"/>
          <w:szCs w:val="22"/>
          <w:lang w:eastAsia="ja-JP"/>
        </w:rPr>
        <w:t>“5 GHz RLAN;</w:t>
      </w:r>
      <w:r w:rsidRPr="00B83E6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Pr="001A2CBC">
        <w:rPr>
          <w:rFonts w:ascii="Times New Roman" w:eastAsiaTheme="minorEastAsia" w:hAnsi="Times New Roman" w:cs="Times New Roman"/>
          <w:sz w:val="22"/>
          <w:szCs w:val="22"/>
          <w:lang w:eastAsia="ja-JP"/>
        </w:rPr>
        <w:t>Harmonised Standard covering the essential requirements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Pr="003F00AD">
        <w:rPr>
          <w:rFonts w:ascii="Times New Roman" w:eastAsiaTheme="minorEastAsia" w:hAnsi="Times New Roman" w:cs="Times New Roman"/>
          <w:sz w:val="22"/>
          <w:szCs w:val="22"/>
          <w:lang w:eastAsia="ja-JP"/>
        </w:rPr>
        <w:t>of article 3.2 of Directive 2014/53/EU</w:t>
      </w:r>
      <w:r w:rsidRPr="00B83E6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Pr="00B83E67"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 w:rsidRPr="00B83E67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May 2017.</w:t>
      </w:r>
    </w:p>
    <w:p w14:paraId="520EE283" w14:textId="3EFC1378" w:rsidR="00E842E1" w:rsidRPr="00F6659C" w:rsidRDefault="00A25CE6" w:rsidP="00E842E1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ET Docket</w:t>
      </w:r>
      <w:r w:rsidR="006474CC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No.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="006C5075" w:rsidRPr="00E842E1">
        <w:rPr>
          <w:rFonts w:ascii="Times New Roman" w:hAnsi="Times New Roman" w:cs="Times New Roman"/>
          <w:sz w:val="22"/>
          <w:szCs w:val="22"/>
        </w:rPr>
        <w:t>18-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295</w:t>
      </w:r>
      <w:r w:rsidR="0040012C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: </w:t>
      </w:r>
      <w:r w:rsidR="006474CC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In the Matter of Unlicensed Use of the 6 GHz Band</w:t>
      </w:r>
      <w:r w:rsidR="0040012C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</w:t>
      </w:r>
      <w:r w:rsidR="0040012C"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="00E842E1" w:rsidRPr="00E842E1">
        <w:rPr>
          <w:rFonts w:ascii="Times New Roman" w:hAnsi="Times New Roman" w:cs="Times New Roman"/>
          <w:sz w:val="22"/>
          <w:szCs w:val="22"/>
        </w:rPr>
        <w:t>Notice of Proposed Rulemaking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 w:rsidR="006C5075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 w:rsidR="00E842E1" w:rsidRPr="00E842E1">
        <w:rPr>
          <w:rFonts w:ascii="Times New Roman" w:hAnsi="Times New Roman" w:cs="Times New Roman"/>
          <w:sz w:val="22"/>
          <w:szCs w:val="22"/>
        </w:rPr>
        <w:t xml:space="preserve"> October 2018</w:t>
      </w:r>
      <w:r w:rsidR="00E842E1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.</w:t>
      </w:r>
    </w:p>
    <w:p w14:paraId="0B713BDD" w14:textId="492B1605" w:rsidR="008E25FE" w:rsidRPr="00F6659C" w:rsidRDefault="00696312" w:rsidP="00696312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TR 37.890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v0.4.0,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696312">
        <w:rPr>
          <w:rFonts w:ascii="Times New Roman" w:eastAsiaTheme="minorEastAsia" w:hAnsi="Times New Roman" w:cs="Times New Roman"/>
          <w:sz w:val="22"/>
          <w:szCs w:val="22"/>
          <w:lang w:eastAsia="ja-JP"/>
        </w:rPr>
        <w:t>Feasibility Study on 6 GHz for LTE and NR in Licensed and Unlicensed Operations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December 2018.</w:t>
      </w:r>
    </w:p>
    <w:p w14:paraId="62255F8E" w14:textId="100BCDF4" w:rsidR="00F6659C" w:rsidRDefault="00F6659C" w:rsidP="00696312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1531E7">
        <w:rPr>
          <w:rFonts w:ascii="Times New Roman" w:hAnsi="Times New Roman" w:cs="Times New Roman"/>
          <w:sz w:val="22"/>
          <w:szCs w:val="22"/>
        </w:rPr>
        <w:t>R1-1806086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1531E7">
        <w:rPr>
          <w:rFonts w:ascii="Times New Roman" w:hAnsi="Times New Roman" w:cs="Times New Roman"/>
          <w:sz w:val="22"/>
          <w:szCs w:val="22"/>
        </w:rPr>
        <w:t>Discussion on the channel access procedures</w:t>
      </w:r>
      <w:r>
        <w:rPr>
          <w:rFonts w:ascii="Times New Roman" w:hAnsi="Times New Roman" w:cs="Times New Roman"/>
          <w:sz w:val="22"/>
          <w:szCs w:val="22"/>
        </w:rPr>
        <w:t>, Vivo, RAN WG1#93</w:t>
      </w:r>
    </w:p>
    <w:p w14:paraId="2FE8BA32" w14:textId="60922547" w:rsidR="00F6659C" w:rsidRPr="00E51DBF" w:rsidRDefault="00F6659C" w:rsidP="00696312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B7FD7">
        <w:rPr>
          <w:rFonts w:ascii="Times New Roman" w:hAnsi="Times New Roman" w:cs="Times New Roman"/>
          <w:sz w:val="22"/>
          <w:szCs w:val="22"/>
        </w:rPr>
        <w:t>R1-1808819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3B7FD7">
        <w:rPr>
          <w:rFonts w:ascii="Times New Roman" w:hAnsi="Times New Roman" w:cs="Times New Roman"/>
          <w:sz w:val="22"/>
          <w:szCs w:val="22"/>
        </w:rPr>
        <w:t>Channel access and co-existence for NR-U operation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3B7FD7">
        <w:rPr>
          <w:rFonts w:ascii="Times New Roman" w:hAnsi="Times New Roman" w:cs="Times New Roman"/>
          <w:sz w:val="22"/>
          <w:szCs w:val="22"/>
        </w:rPr>
        <w:t>Nokia, Nokia Shanghai Bell</w:t>
      </w:r>
      <w:r>
        <w:rPr>
          <w:rFonts w:ascii="Times New Roman" w:hAnsi="Times New Roman" w:cs="Times New Roman"/>
          <w:sz w:val="22"/>
          <w:szCs w:val="22"/>
        </w:rPr>
        <w:t>, RAN1 #94</w:t>
      </w:r>
    </w:p>
    <w:p w14:paraId="0B54663B" w14:textId="71FD9E10" w:rsidR="00342FB0" w:rsidRPr="00A25CE6" w:rsidRDefault="0085208F" w:rsidP="00A25CE6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5208F">
        <w:rPr>
          <w:rFonts w:ascii="Times New Roman" w:hAnsi="Times New Roman" w:cs="Times New Roman"/>
          <w:sz w:val="22"/>
          <w:szCs w:val="22"/>
        </w:rPr>
        <w:t>Ref. Ares(2017)6222764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, 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“</w:t>
      </w:r>
      <w:r w:rsidRPr="0085208F">
        <w:rPr>
          <w:rFonts w:ascii="Times New Roman" w:hAnsi="Times New Roman" w:cs="Times New Roman"/>
          <w:sz w:val="22"/>
          <w:szCs w:val="22"/>
        </w:rPr>
        <w:t>MANDATE TO CEPT</w:t>
      </w:r>
      <w:r w:rsidRPr="0085208F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Pr="0085208F">
        <w:rPr>
          <w:rFonts w:ascii="Times New Roman" w:hAnsi="Times New Roman" w:cs="Times New Roman"/>
          <w:sz w:val="22"/>
          <w:szCs w:val="22"/>
        </w:rPr>
        <w:t>TO STUDY FEASIBILITY AND IDENTIFY HARMONISED TECHNICAL CONDITIONS</w:t>
      </w:r>
      <w:r w:rsidRPr="00A25CE6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Pr="00A25CE6">
        <w:rPr>
          <w:rFonts w:ascii="Times New Roman" w:hAnsi="Times New Roman" w:cs="Times New Roman"/>
          <w:sz w:val="22"/>
          <w:szCs w:val="22"/>
        </w:rPr>
        <w:t>FOR WIRELESS ACCESS SYSTEMS INCLUDING RADIO LOCAL AREA NETWORKS</w:t>
      </w:r>
      <w:r w:rsidRPr="00A25CE6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 xml:space="preserve"> </w:t>
      </w:r>
      <w:r w:rsidRPr="00A25CE6">
        <w:rPr>
          <w:rFonts w:ascii="Times New Roman" w:hAnsi="Times New Roman" w:cs="Times New Roman"/>
          <w:sz w:val="22"/>
          <w:szCs w:val="22"/>
        </w:rPr>
        <w:t>IN THE 5925-6425 MHZ BAND FOR THE PROVISION OF WIRELESS BROADBAND SERVICES</w:t>
      </w:r>
      <w:r>
        <w:rPr>
          <w:rFonts w:ascii="Times New Roman" w:eastAsiaTheme="minorEastAsia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, European Commission, December 2017</w:t>
      </w:r>
    </w:p>
    <w:sectPr w:rsidR="00342FB0" w:rsidRPr="00A25CE6" w:rsidSect="0009067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37A002" w16cid:durableId="1FE05918"/>
  <w16cid:commentId w16cid:paraId="72AF7772" w16cid:durableId="1FE05992"/>
  <w16cid:commentId w16cid:paraId="3A491F32" w16cid:durableId="1FE059BB"/>
  <w16cid:commentId w16cid:paraId="729715D4" w16cid:durableId="1FE059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53BFF" w14:textId="77777777" w:rsidR="008369B8" w:rsidRDefault="008369B8" w:rsidP="00530B04">
      <w:pPr>
        <w:spacing w:after="0"/>
      </w:pPr>
      <w:r>
        <w:separator/>
      </w:r>
    </w:p>
  </w:endnote>
  <w:endnote w:type="continuationSeparator" w:id="0">
    <w:p w14:paraId="460F847E" w14:textId="77777777" w:rsidR="008369B8" w:rsidRDefault="008369B8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6CA30" w14:textId="77777777" w:rsidR="008369B8" w:rsidRDefault="008369B8" w:rsidP="00530B04">
      <w:pPr>
        <w:spacing w:after="0"/>
      </w:pPr>
      <w:r>
        <w:separator/>
      </w:r>
    </w:p>
  </w:footnote>
  <w:footnote w:type="continuationSeparator" w:id="0">
    <w:p w14:paraId="4251F374" w14:textId="77777777" w:rsidR="008369B8" w:rsidRDefault="008369B8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C68E4"/>
    <w:multiLevelType w:val="hybridMultilevel"/>
    <w:tmpl w:val="928C6C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2353E2"/>
    <w:multiLevelType w:val="hybridMultilevel"/>
    <w:tmpl w:val="80B8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DC"/>
    <w:rsid w:val="00034ED6"/>
    <w:rsid w:val="00051643"/>
    <w:rsid w:val="0005228D"/>
    <w:rsid w:val="000546AA"/>
    <w:rsid w:val="000760F3"/>
    <w:rsid w:val="0009067B"/>
    <w:rsid w:val="000C100E"/>
    <w:rsid w:val="000C68DA"/>
    <w:rsid w:val="00104830"/>
    <w:rsid w:val="00134CA4"/>
    <w:rsid w:val="00141E1E"/>
    <w:rsid w:val="001461C7"/>
    <w:rsid w:val="0015155E"/>
    <w:rsid w:val="001531E7"/>
    <w:rsid w:val="00167BA9"/>
    <w:rsid w:val="001702D8"/>
    <w:rsid w:val="001A2CBC"/>
    <w:rsid w:val="001E2E0B"/>
    <w:rsid w:val="001E6B6C"/>
    <w:rsid w:val="001F5DA6"/>
    <w:rsid w:val="00225077"/>
    <w:rsid w:val="00242F08"/>
    <w:rsid w:val="00255D7E"/>
    <w:rsid w:val="00265C71"/>
    <w:rsid w:val="0027504A"/>
    <w:rsid w:val="00286E12"/>
    <w:rsid w:val="00287FC2"/>
    <w:rsid w:val="00292726"/>
    <w:rsid w:val="002D71B7"/>
    <w:rsid w:val="00302EB0"/>
    <w:rsid w:val="003040E4"/>
    <w:rsid w:val="00342FB0"/>
    <w:rsid w:val="003873D5"/>
    <w:rsid w:val="00390498"/>
    <w:rsid w:val="00396B27"/>
    <w:rsid w:val="003A7597"/>
    <w:rsid w:val="003B373D"/>
    <w:rsid w:val="003B490F"/>
    <w:rsid w:val="003B7FD7"/>
    <w:rsid w:val="003F00AD"/>
    <w:rsid w:val="0040012C"/>
    <w:rsid w:val="0040242B"/>
    <w:rsid w:val="004024A6"/>
    <w:rsid w:val="004048CB"/>
    <w:rsid w:val="00411DA3"/>
    <w:rsid w:val="004146CC"/>
    <w:rsid w:val="004246DC"/>
    <w:rsid w:val="0043142C"/>
    <w:rsid w:val="00460371"/>
    <w:rsid w:val="00464A4F"/>
    <w:rsid w:val="00465669"/>
    <w:rsid w:val="004B2E3C"/>
    <w:rsid w:val="004B31E1"/>
    <w:rsid w:val="004E3171"/>
    <w:rsid w:val="004E5969"/>
    <w:rsid w:val="004E7E02"/>
    <w:rsid w:val="00530B04"/>
    <w:rsid w:val="005369B8"/>
    <w:rsid w:val="005440C1"/>
    <w:rsid w:val="0055721F"/>
    <w:rsid w:val="005603EF"/>
    <w:rsid w:val="00587F9B"/>
    <w:rsid w:val="00594F37"/>
    <w:rsid w:val="005B7ECD"/>
    <w:rsid w:val="005C09FE"/>
    <w:rsid w:val="005C0E12"/>
    <w:rsid w:val="005D309E"/>
    <w:rsid w:val="005F1734"/>
    <w:rsid w:val="005F63D2"/>
    <w:rsid w:val="00646AEF"/>
    <w:rsid w:val="00646B7C"/>
    <w:rsid w:val="006474CC"/>
    <w:rsid w:val="00657190"/>
    <w:rsid w:val="006740B4"/>
    <w:rsid w:val="00696312"/>
    <w:rsid w:val="006C5075"/>
    <w:rsid w:val="006C6263"/>
    <w:rsid w:val="006C70EB"/>
    <w:rsid w:val="006F5283"/>
    <w:rsid w:val="00707CEB"/>
    <w:rsid w:val="007239AE"/>
    <w:rsid w:val="00760AAA"/>
    <w:rsid w:val="007A3C3B"/>
    <w:rsid w:val="007A4791"/>
    <w:rsid w:val="007B3846"/>
    <w:rsid w:val="007D4DFA"/>
    <w:rsid w:val="007E067C"/>
    <w:rsid w:val="007E4BD0"/>
    <w:rsid w:val="00803B1B"/>
    <w:rsid w:val="008369B8"/>
    <w:rsid w:val="0085208F"/>
    <w:rsid w:val="0085472E"/>
    <w:rsid w:val="0085768E"/>
    <w:rsid w:val="00865697"/>
    <w:rsid w:val="00881175"/>
    <w:rsid w:val="00896B0A"/>
    <w:rsid w:val="008A2C42"/>
    <w:rsid w:val="008B6D60"/>
    <w:rsid w:val="008C6975"/>
    <w:rsid w:val="008E25FE"/>
    <w:rsid w:val="008E2BD5"/>
    <w:rsid w:val="008E715F"/>
    <w:rsid w:val="009126CB"/>
    <w:rsid w:val="00913C8B"/>
    <w:rsid w:val="0095231A"/>
    <w:rsid w:val="00964E43"/>
    <w:rsid w:val="00977ECE"/>
    <w:rsid w:val="009B0EED"/>
    <w:rsid w:val="009C08E4"/>
    <w:rsid w:val="00A0336C"/>
    <w:rsid w:val="00A12697"/>
    <w:rsid w:val="00A25CE6"/>
    <w:rsid w:val="00A503FC"/>
    <w:rsid w:val="00A6477E"/>
    <w:rsid w:val="00A65AFB"/>
    <w:rsid w:val="00A864FC"/>
    <w:rsid w:val="00A936F7"/>
    <w:rsid w:val="00A93CF8"/>
    <w:rsid w:val="00AC415D"/>
    <w:rsid w:val="00B25D18"/>
    <w:rsid w:val="00B412F4"/>
    <w:rsid w:val="00B707EF"/>
    <w:rsid w:val="00B83E67"/>
    <w:rsid w:val="00B865D9"/>
    <w:rsid w:val="00BA6E30"/>
    <w:rsid w:val="00BC5A24"/>
    <w:rsid w:val="00BE0768"/>
    <w:rsid w:val="00C0027D"/>
    <w:rsid w:val="00C076BF"/>
    <w:rsid w:val="00C272A1"/>
    <w:rsid w:val="00C320B3"/>
    <w:rsid w:val="00C3754F"/>
    <w:rsid w:val="00C81E5B"/>
    <w:rsid w:val="00C92114"/>
    <w:rsid w:val="00C928D3"/>
    <w:rsid w:val="00CD6847"/>
    <w:rsid w:val="00CF49C3"/>
    <w:rsid w:val="00D110CC"/>
    <w:rsid w:val="00D2036F"/>
    <w:rsid w:val="00D3542C"/>
    <w:rsid w:val="00D71331"/>
    <w:rsid w:val="00D7604F"/>
    <w:rsid w:val="00DA3435"/>
    <w:rsid w:val="00DC67D8"/>
    <w:rsid w:val="00E07936"/>
    <w:rsid w:val="00E36734"/>
    <w:rsid w:val="00E430EA"/>
    <w:rsid w:val="00E46B31"/>
    <w:rsid w:val="00E51DBF"/>
    <w:rsid w:val="00E56F8A"/>
    <w:rsid w:val="00E67452"/>
    <w:rsid w:val="00E842E1"/>
    <w:rsid w:val="00EB628D"/>
    <w:rsid w:val="00EC6D7E"/>
    <w:rsid w:val="00EF6C5E"/>
    <w:rsid w:val="00F11ACB"/>
    <w:rsid w:val="00F1468D"/>
    <w:rsid w:val="00F17E21"/>
    <w:rsid w:val="00F21693"/>
    <w:rsid w:val="00F23574"/>
    <w:rsid w:val="00F30F37"/>
    <w:rsid w:val="00F37121"/>
    <w:rsid w:val="00F516C7"/>
    <w:rsid w:val="00F6659C"/>
    <w:rsid w:val="00F765D7"/>
    <w:rsid w:val="00F76DB2"/>
    <w:rsid w:val="00F80AF6"/>
    <w:rsid w:val="00F861AF"/>
    <w:rsid w:val="00F95181"/>
    <w:rsid w:val="00FD1B1F"/>
    <w:rsid w:val="00FD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5FB42F"/>
  <w15:docId w15:val="{072265DC-A875-461C-B7C4-DEF889E2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6DC"/>
    <w:rPr>
      <w:rFonts w:ascii="Arial" w:eastAsiaTheme="minorEastAsia" w:hAnsi="Arial" w:cs="Arial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246D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246DC"/>
    <w:rPr>
      <w:rFonts w:ascii="Times New Roman" w:eastAsiaTheme="minorEastAsia" w:hAnsi="Times New Roman" w:cs="Times New Roman"/>
      <w:lang w:val="en-US"/>
    </w:rPr>
  </w:style>
  <w:style w:type="paragraph" w:styleId="ListParagraph">
    <w:name w:val="List Paragraph"/>
    <w:aliases w:val="- Bullets,목록 단락,列出段落,Lista1,?? ??,?????,????"/>
    <w:basedOn w:val="Normal"/>
    <w:link w:val="ListParagraphChar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"/>
    <w:link w:val="ListParagraph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Normal"/>
    <w:rsid w:val="004246D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Hyperlink">
    <w:name w:val="Hyperlink"/>
    <w:uiPriority w:val="99"/>
    <w:rsid w:val="00E367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6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46AE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Normal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Normal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List2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040E4"/>
    <w:pPr>
      <w:ind w:left="566" w:hanging="283"/>
      <w:contextualSpacing/>
    </w:pPr>
  </w:style>
  <w:style w:type="paragraph" w:styleId="TOC2">
    <w:name w:val="toc 2"/>
    <w:basedOn w:val="TOC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3542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1263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</dc:creator>
  <cp:lastModifiedBy>Ljung, Rickard</cp:lastModifiedBy>
  <cp:revision>2</cp:revision>
  <cp:lastPrinted>2018-09-24T06:57:00Z</cp:lastPrinted>
  <dcterms:created xsi:type="dcterms:W3CDTF">2019-01-11T11:53:00Z</dcterms:created>
  <dcterms:modified xsi:type="dcterms:W3CDTF">2019-01-11T11:53:00Z</dcterms:modified>
</cp:coreProperties>
</file>